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 w:after="40"/>
        <w:jc w:val="center"/>
      </w:pPr>
      <w:r>
        <w:rPr>
          <w:rFonts w:ascii="Aptos" w:hAnsi="Aptos"/>
          <w:b/>
          <w:i w:val="0"/>
          <w:color w:val="163A3A"/>
          <w:sz w:val="36"/>
        </w:rPr>
        <w:t>FORMATO No. [●] — OFERTA ECONÓMICA</w:t>
      </w:r>
    </w:p>
    <w:p>
      <w:pPr>
        <w:spacing w:after="140"/>
        <w:jc w:val="center"/>
      </w:pPr>
      <w:r>
        <w:rPr>
          <w:rFonts w:ascii="Aptos" w:hAnsi="Aptos"/>
          <w:b/>
          <w:i w:val="0"/>
          <w:color w:val="52716F"/>
          <w:sz w:val="22"/>
        </w:rPr>
        <w:t>Contrato de consultoría para la interventoría integral del sector energético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5760"/>
        <w:gridCol w:w="1800"/>
        <w:gridCol w:w="5112"/>
      </w:tblGrid>
      <w:tr>
        <w:trPr>
          <w:cantSplit/>
        </w:trPr>
        <w:tc>
          <w:tcPr>
            <w:tcW w:type="dxa" w:w="144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Proceso</w:t>
            </w:r>
          </w:p>
        </w:tc>
        <w:tc>
          <w:tcPr>
            <w:tcW w:type="dxa" w:w="5760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 POR LA ENTIDAD]</w:t>
            </w:r>
          </w:p>
        </w:tc>
        <w:tc>
          <w:tcPr>
            <w:tcW w:type="dxa" w:w="180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Oferente</w:t>
            </w:r>
          </w:p>
        </w:tc>
        <w:tc>
          <w:tcPr>
            <w:tcW w:type="dxa" w:w="511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44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Objeto</w:t>
            </w:r>
          </w:p>
        </w:tc>
        <w:tc>
          <w:tcPr>
            <w:tcW w:type="dxa" w:w="5760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[COMPLETAR OBJETO EXACTO]</w:t>
            </w:r>
          </w:p>
        </w:tc>
        <w:tc>
          <w:tcPr>
            <w:tcW w:type="dxa" w:w="180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NIT / documento</w:t>
            </w:r>
          </w:p>
        </w:tc>
        <w:tc>
          <w:tcPr>
            <w:tcW w:type="dxa" w:w="511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44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Plazo</w:t>
            </w:r>
          </w:p>
        </w:tc>
        <w:tc>
          <w:tcPr>
            <w:tcW w:type="dxa" w:w="5760"/>
            <w:shd w:fill="FFFFFF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242 meses</w:t>
            </w:r>
          </w:p>
        </w:tc>
        <w:tc>
          <w:tcPr>
            <w:tcW w:type="dxa" w:w="180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Representante</w:t>
            </w:r>
          </w:p>
        </w:tc>
        <w:tc>
          <w:tcPr>
            <w:tcW w:type="dxa" w:w="511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44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Fecha base</w:t>
            </w:r>
          </w:p>
        </w:tc>
        <w:tc>
          <w:tcPr>
            <w:tcW w:type="dxa" w:w="5760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[MES / AÑO]</w:t>
            </w:r>
          </w:p>
        </w:tc>
        <w:tc>
          <w:tcPr>
            <w:tcW w:type="dxa" w:w="180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Forma de participación</w:t>
            </w:r>
          </w:p>
        </w:tc>
        <w:tc>
          <w:tcPr>
            <w:tcW w:type="dxa" w:w="511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pStyle w:val="Heading1"/>
        <w:keepNext/>
      </w:pPr>
      <w:r>
        <w:t>1. Instrucciones esenciales</w:t>
      </w:r>
    </w:p>
    <w:tbl>
      <w:tblPr>
        <w:tblW w:type="dxa" w:w="14112"/>
        <w:jc w:val="center"/>
        <w:tblLayout w:type="fixed"/>
        <w:tblLook w:firstColumn="1" w:firstRow="1" w:lastColumn="0" w:lastRow="0" w:noHBand="0" w:noVBand="1" w:val="04A0"/>
      </w:tblPr>
      <w:tblGrid>
        <w:gridCol w:w="14112"/>
      </w:tblGrid>
      <w:tr>
        <w:tc>
          <w:tcPr>
            <w:tcW w:type="dxa" w:w="1411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shd w:fill="EAF4F3"/>
            <w:tcBorders>
              <w:left w:val="single" w:sz="18" w:color="5B8C8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163A3A"/>
                <w:sz w:val="18"/>
              </w:rPr>
              <w:t>Diligenciamiento fácil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34155"/>
                <w:sz w:val="17"/>
              </w:rPr>
              <w:t>AMARILLO: diligencia el oferente. GRIS: información fija que no puede modificarse. VERDE: resultado de una operación. No deje celdas amarillas vacías; cuando un valor no aplique, escriba cero (0) y aporte el soporte correspondiente.</w:t>
            </w:r>
          </w:p>
        </w:tc>
      </w:tr>
    </w:tbl>
    <w:p>
      <w:pPr>
        <w:pStyle w:val="ListNumber"/>
      </w:pPr>
      <w:r>
        <w:rPr>
          <w:rFonts w:ascii="Aptos" w:hAnsi="Aptos"/>
          <w:b w:val="0"/>
          <w:i w:val="0"/>
          <w:color w:val="1F2937"/>
          <w:sz w:val="17"/>
        </w:rPr>
        <w:t>Presente una sola oferta, completa, en pesos colombianos y con dos decimales.</w:t>
      </w:r>
    </w:p>
    <w:p>
      <w:pPr>
        <w:pStyle w:val="ListNumber"/>
      </w:pPr>
      <w:r>
        <w:rPr>
          <w:rFonts w:ascii="Aptos" w:hAnsi="Aptos"/>
          <w:b w:val="0"/>
          <w:i w:val="0"/>
          <w:color w:val="1F2937"/>
          <w:sz w:val="17"/>
        </w:rPr>
        <w:t>No cambie cargos, cantidades, dedicaciones, unidades ni el plazo de 242 meses.</w:t>
      </w:r>
    </w:p>
    <w:p>
      <w:pPr>
        <w:pStyle w:val="ListNumber"/>
      </w:pPr>
      <w:r>
        <w:rPr>
          <w:rFonts w:ascii="Aptos" w:hAnsi="Aptos"/>
          <w:b w:val="0"/>
          <w:i w:val="0"/>
          <w:color w:val="1F2937"/>
          <w:sz w:val="17"/>
        </w:rPr>
        <w:t>Personal: valor mensual = cantidad × valor base mensual × dedicación × factor multiplicador.</w:t>
      </w:r>
    </w:p>
    <w:p>
      <w:pPr>
        <w:pStyle w:val="ListNumber"/>
      </w:pPr>
      <w:r>
        <w:rPr>
          <w:rFonts w:ascii="Aptos" w:hAnsi="Aptos"/>
          <w:b w:val="0"/>
          <w:i w:val="0"/>
          <w:color w:val="1F2937"/>
          <w:sz w:val="17"/>
        </w:rPr>
        <w:t>Otros costos: valor mensual = cantidad × valor unitario mensual ofrecido.</w:t>
      </w:r>
    </w:p>
    <w:p>
      <w:pPr>
        <w:pStyle w:val="ListNumber"/>
      </w:pPr>
      <w:r>
        <w:rPr>
          <w:rFonts w:ascii="Aptos" w:hAnsi="Aptos"/>
          <w:b w:val="0"/>
          <w:i w:val="0"/>
          <w:color w:val="1F2937"/>
          <w:sz w:val="17"/>
        </w:rPr>
        <w:t>El factor multiplicador ofrecido no puede superar 2,50.</w:t>
      </w:r>
    </w:p>
    <w:p>
      <w:pPr>
        <w:pStyle w:val="ListNumber"/>
      </w:pPr>
      <w:r>
        <w:rPr>
          <w:rFonts w:ascii="Aptos" w:hAnsi="Aptos"/>
          <w:b w:val="0"/>
          <w:i w:val="0"/>
          <w:color w:val="1F2937"/>
          <w:sz w:val="17"/>
        </w:rPr>
        <w:t>El TOTAL DE LA OFERTA es obligatorio y debe ser exactamente el valor mensual total × 242.</w:t>
      </w:r>
    </w:p>
    <w:p>
      <w:pPr>
        <w:pStyle w:val="ListNumber"/>
      </w:pPr>
      <w:r>
        <w:rPr>
          <w:rFonts w:ascii="Aptos" w:hAnsi="Aptos"/>
          <w:b w:val="0"/>
          <w:i w:val="0"/>
          <w:color w:val="1F2937"/>
          <w:sz w:val="17"/>
        </w:rPr>
        <w:t>No incluya proyecciones de IPC, inflación o reajustes futuros; estos no hacen parte de la comparación inicial.</w:t>
      </w:r>
    </w:p>
    <w:p>
      <w:pPr>
        <w:pStyle w:val="ListNumber"/>
      </w:pPr>
      <w:r>
        <w:rPr>
          <w:rFonts w:ascii="Aptos" w:hAnsi="Aptos"/>
          <w:b w:val="0"/>
          <w:i w:val="0"/>
          <w:color w:val="1F2937"/>
          <w:sz w:val="17"/>
        </w:rPr>
        <w:t>La oferta no puede superar los topes mensuales de cada componente ni el presupuesto oficial total.</w:t>
      </w:r>
    </w:p>
    <w:tbl>
      <w:tblPr>
        <w:tblW w:type="dxa" w:w="14112"/>
        <w:jc w:val="center"/>
        <w:tblLayout w:type="fixed"/>
        <w:tblLook w:firstColumn="1" w:firstRow="1" w:lastColumn="0" w:lastRow="0" w:noHBand="0" w:noVBand="1" w:val="04A0"/>
      </w:tblPr>
      <w:tblGrid>
        <w:gridCol w:w="14112"/>
      </w:tblGrid>
      <w:tr>
        <w:tc>
          <w:tcPr>
            <w:tcW w:type="dxa" w:w="1411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shd w:fill="FFF1E8"/>
            <w:tcBorders>
              <w:left w:val="single" w:sz="18" w:color="C76B29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163A3A"/>
                <w:sz w:val="18"/>
              </w:rPr>
              <w:t>Advertencia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34155"/>
                <w:sz w:val="17"/>
              </w:rPr>
              <w:t>La omisión de un valor obligatorio, la modificación de datos fijos, la falta de firma, la inconsistencia aritmética o la superación de los topes será tratada conforme a las causales de rechazo establecidas en los términos de referencia.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2. Oferta mensual — alumbrado público y suministro de energía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</w:tblPr>
      <w:tblGrid>
        <w:gridCol w:w="576"/>
        <w:gridCol w:w="4608"/>
        <w:gridCol w:w="792"/>
        <w:gridCol w:w="1080"/>
        <w:gridCol w:w="1655"/>
        <w:gridCol w:w="2376"/>
        <w:gridCol w:w="1007"/>
        <w:gridCol w:w="2015"/>
      </w:tblGrid>
      <w:tr>
        <w:trPr>
          <w:tblHeader w:val="true"/>
          <w:cantSplit/>
        </w:trPr>
        <w:tc>
          <w:tcPr>
            <w:tcW w:type="dxa" w:w="576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No.</w:t>
            </w:r>
          </w:p>
        </w:tc>
        <w:tc>
          <w:tcPr>
            <w:tcW w:type="dxa" w:w="4608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Cargo / concepto</w:t>
            </w:r>
          </w:p>
        </w:tc>
        <w:tc>
          <w:tcPr>
            <w:tcW w:type="dxa" w:w="792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Cant.</w:t>
            </w:r>
          </w:p>
        </w:tc>
        <w:tc>
          <w:tcPr>
            <w:tcW w:type="dxa" w:w="1080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Dedicación</w:t>
            </w:r>
          </w:p>
        </w:tc>
        <w:tc>
          <w:tcPr>
            <w:tcW w:type="dxa" w:w="1655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Vinculación</w:t>
            </w:r>
          </w:p>
        </w:tc>
        <w:tc>
          <w:tcPr>
            <w:tcW w:type="dxa" w:w="2376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Valor base o unitario mensual ofrecido</w:t>
            </w:r>
          </w:p>
        </w:tc>
        <w:tc>
          <w:tcPr>
            <w:tcW w:type="dxa" w:w="1007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F.M.</w:t>
            </w:r>
          </w:p>
        </w:tc>
        <w:tc>
          <w:tcPr>
            <w:tcW w:type="dxa" w:w="2015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Valor mensual ofrecido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2.1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Director de interventoría — alumbrado público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100%</w:t>
            </w:r>
          </w:p>
        </w:tc>
        <w:tc>
          <w:tcPr>
            <w:tcW w:type="dxa" w:w="1655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[LABORAL / SERVICIOS]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[≤ 2,50]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2.2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Asesor técnico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100%</w:t>
            </w:r>
          </w:p>
        </w:tc>
        <w:tc>
          <w:tcPr>
            <w:tcW w:type="dxa" w:w="1655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[LABORAL / SERVICIOS]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[≤ 2,50]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2.3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Ingeniero residente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100%</w:t>
            </w:r>
          </w:p>
        </w:tc>
        <w:tc>
          <w:tcPr>
            <w:tcW w:type="dxa" w:w="1655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[LABORAL / SERVICIOS]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[≤ 2,50]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2.4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Asesor financiero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100%</w:t>
            </w:r>
          </w:p>
        </w:tc>
        <w:tc>
          <w:tcPr>
            <w:tcW w:type="dxa" w:w="1655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[LABORAL / SERVICIOS]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[≤ 2,50]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2.5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Asesor legal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50%</w:t>
            </w:r>
          </w:p>
        </w:tc>
        <w:tc>
          <w:tcPr>
            <w:tcW w:type="dxa" w:w="1655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[LABORAL / SERVICIOS]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[≤ 2,50]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2.6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Técnico administrativo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100%</w:t>
            </w:r>
          </w:p>
        </w:tc>
        <w:tc>
          <w:tcPr>
            <w:tcW w:type="dxa" w:w="1655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[LABORAL / SERVICIOS]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[≤ 2,50]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2.7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Técnico eléctrico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3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100%</w:t>
            </w:r>
          </w:p>
        </w:tc>
        <w:tc>
          <w:tcPr>
            <w:tcW w:type="dxa" w:w="1655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[LABORAL / SERVICIOS]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[≤ 2,50]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2.8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Técnico SISO / HESQ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100%</w:t>
            </w:r>
          </w:p>
        </w:tc>
        <w:tc>
          <w:tcPr>
            <w:tcW w:type="dxa" w:w="1655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[LABORAL / SERVICIOS]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[≤ 2,50]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2.9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Oficina completamente dotada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1655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2.10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Equipos de cómputo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1655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2.11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Motocicletas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3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1655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2.12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Camionetas 4×4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3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1655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2.13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Herramientas técnicas de campo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1655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2.14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Elementos de protección personal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1655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2.15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Elementos de SST y uniformes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1655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No aplica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c>
          <w:tcPr>
            <w:tcW w:type="dxa" w:w="1007"/>
            <w:gridSpan w:val="7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SUBTOTAL MENSUAL ANTES DE IVA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$ [CALCULAR]</w:t>
            </w:r>
          </w:p>
        </w:tc>
      </w:tr>
      <w:tr>
        <w:tc>
          <w:tcPr>
            <w:tcW w:type="dxa" w:w="2376"/>
            <w:gridSpan w:val="6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IVA — diligencie la tarifa aplicable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[DILIGENCIAR] %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$ [CALCULAR]</w:t>
            </w:r>
          </w:p>
        </w:tc>
      </w:tr>
      <w:tr>
        <w:tc>
          <w:tcPr>
            <w:tcW w:type="dxa" w:w="1007"/>
            <w:gridSpan w:val="7"/>
            <w:shd w:fill="DDEBE9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TOTAL MENSUAL DEL COMPONENTE, INCLUIDO IVA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$ [CALCULAR]</w:t>
            </w:r>
          </w:p>
        </w:tc>
      </w:tr>
      <w:tr>
        <w:tc>
          <w:tcPr>
            <w:tcW w:type="dxa" w:w="1007"/>
            <w:gridSpan w:val="7"/>
            <w:shd w:fill="FFF1E8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7C3F1D"/>
                <w:sz w:val="16"/>
              </w:rPr>
              <w:t>TOPE MENSUAL DEL COMPONENTE — NO PUEDE SUPERARSE</w:t>
            </w:r>
          </w:p>
        </w:tc>
        <w:tc>
          <w:tcPr>
            <w:tcW w:type="dxa" w:w="2015"/>
            <w:shd w:fill="FFF1E8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7C3F1D"/>
                <w:sz w:val="16"/>
              </w:rPr>
              <w:t>$ 286.848.600,06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3. Oferta mensual — generación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</w:tblPr>
      <w:tblGrid>
        <w:gridCol w:w="576"/>
        <w:gridCol w:w="4608"/>
        <w:gridCol w:w="792"/>
        <w:gridCol w:w="1080"/>
        <w:gridCol w:w="1655"/>
        <w:gridCol w:w="2376"/>
        <w:gridCol w:w="1007"/>
        <w:gridCol w:w="2015"/>
      </w:tblGrid>
      <w:tr>
        <w:trPr>
          <w:tblHeader w:val="true"/>
          <w:cantSplit/>
        </w:trPr>
        <w:tc>
          <w:tcPr>
            <w:tcW w:type="dxa" w:w="576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No.</w:t>
            </w:r>
          </w:p>
        </w:tc>
        <w:tc>
          <w:tcPr>
            <w:tcW w:type="dxa" w:w="4608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Cargo / concepto</w:t>
            </w:r>
          </w:p>
        </w:tc>
        <w:tc>
          <w:tcPr>
            <w:tcW w:type="dxa" w:w="792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Cant.</w:t>
            </w:r>
          </w:p>
        </w:tc>
        <w:tc>
          <w:tcPr>
            <w:tcW w:type="dxa" w:w="1080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Dedicación</w:t>
            </w:r>
          </w:p>
        </w:tc>
        <w:tc>
          <w:tcPr>
            <w:tcW w:type="dxa" w:w="1655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Vinculación</w:t>
            </w:r>
          </w:p>
        </w:tc>
        <w:tc>
          <w:tcPr>
            <w:tcW w:type="dxa" w:w="2376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Valor base o unitario mensual ofrecido</w:t>
            </w:r>
          </w:p>
        </w:tc>
        <w:tc>
          <w:tcPr>
            <w:tcW w:type="dxa" w:w="1007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F.M.</w:t>
            </w:r>
          </w:p>
        </w:tc>
        <w:tc>
          <w:tcPr>
            <w:tcW w:type="dxa" w:w="2015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Valor mensual ofrecido</w:t>
            </w:r>
          </w:p>
        </w:tc>
      </w:tr>
      <w:tr>
        <w:trPr>
          <w:cantSplit/>
        </w:trPr>
        <w:tc>
          <w:tcPr>
            <w:tcW w:type="dxa" w:w="576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3.1</w:t>
            </w:r>
          </w:p>
        </w:tc>
        <w:tc>
          <w:tcPr>
            <w:tcW w:type="dxa" w:w="460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Director de interventoría — generación</w:t>
            </w:r>
          </w:p>
        </w:tc>
        <w:tc>
          <w:tcPr>
            <w:tcW w:type="dxa" w:w="792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1</w:t>
            </w:r>
          </w:p>
        </w:tc>
        <w:tc>
          <w:tcPr>
            <w:tcW w:type="dxa" w:w="10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50%</w:t>
            </w:r>
          </w:p>
        </w:tc>
        <w:tc>
          <w:tcPr>
            <w:tcW w:type="dxa" w:w="1655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[LABORAL / SERVICIOS]</w:t>
            </w:r>
          </w:p>
        </w:tc>
        <w:tc>
          <w:tcPr>
            <w:tcW w:type="dxa" w:w="2376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[DILIGENCIAR]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[≤ 2,50]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$ [CALCULAR]</w:t>
            </w:r>
          </w:p>
        </w:tc>
      </w:tr>
      <w:tr>
        <w:tc>
          <w:tcPr>
            <w:tcW w:type="dxa" w:w="1007"/>
            <w:gridSpan w:val="7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SUBTOTAL MENSUAL ANTES DE IVA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$ [CALCULAR]</w:t>
            </w:r>
          </w:p>
        </w:tc>
      </w:tr>
      <w:tr>
        <w:tc>
          <w:tcPr>
            <w:tcW w:type="dxa" w:w="2376"/>
            <w:gridSpan w:val="6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IVA — diligencie la tarifa aplicable</w:t>
            </w:r>
          </w:p>
        </w:tc>
        <w:tc>
          <w:tcPr>
            <w:tcW w:type="dxa" w:w="1007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[DILIGENCIAR] %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$ [CALCULAR]</w:t>
            </w:r>
          </w:p>
        </w:tc>
      </w:tr>
      <w:tr>
        <w:tc>
          <w:tcPr>
            <w:tcW w:type="dxa" w:w="1007"/>
            <w:gridSpan w:val="7"/>
            <w:shd w:fill="DDEBE9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TOTAL MENSUAL DEL COMPONENTE, INCLUIDO IVA</w:t>
            </w:r>
          </w:p>
        </w:tc>
        <w:tc>
          <w:tcPr>
            <w:tcW w:type="dxa" w:w="2015"/>
            <w:shd w:fill="EAF4F3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$ [CALCULAR]</w:t>
            </w:r>
          </w:p>
        </w:tc>
      </w:tr>
      <w:tr>
        <w:tc>
          <w:tcPr>
            <w:tcW w:type="dxa" w:w="1007"/>
            <w:gridSpan w:val="7"/>
            <w:shd w:fill="FFF1E8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7C3F1D"/>
                <w:sz w:val="16"/>
              </w:rPr>
              <w:t>TOPE MENSUAL DEL COMPONENTE — NO PUEDE SUPERARSE</w:t>
            </w:r>
          </w:p>
        </w:tc>
        <w:tc>
          <w:tcPr>
            <w:tcW w:type="dxa" w:w="2015"/>
            <w:shd w:fill="FFF1E8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7C3F1D"/>
                <w:sz w:val="16"/>
              </w:rPr>
              <w:t>$ 5.206.250,00</w:t>
            </w:r>
          </w:p>
        </w:tc>
      </w:tr>
    </w:tbl>
    <w:p>
      <w:pPr>
        <w:pStyle w:val="Heading1"/>
        <w:keepNext/>
      </w:pPr>
      <w:r>
        <w:t>4. Resumen obligatorio de la oferta</w:t>
      </w:r>
    </w:p>
    <w:tbl>
      <w:tblPr>
        <w:tblW w:type="dxa" w:w="14112"/>
        <w:jc w:val="center"/>
        <w:tblLayout w:type="fixed"/>
        <w:tblLook w:firstColumn="1" w:firstRow="1" w:lastColumn="0" w:lastRow="0" w:noHBand="0" w:noVBand="1" w:val="04A0"/>
      </w:tblPr>
      <w:tblGrid>
        <w:gridCol w:w="14112"/>
      </w:tblGrid>
      <w:tr>
        <w:tc>
          <w:tcPr>
            <w:tcW w:type="dxa" w:w="1411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  <w:shd w:fill="EAF4F3"/>
            <w:tcBorders>
              <w:left w:val="single" w:sz="18" w:color="5B8C8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i w:val="0"/>
                <w:color w:val="163A3A"/>
                <w:sz w:val="18"/>
              </w:rPr>
              <w:t>Única cifra de comparación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334155"/>
                <w:sz w:val="17"/>
              </w:rPr>
              <w:t>La oferta económica evaluable es el valor total para 242 meses. Debe coincidir exactamente con el detalle mensual y con la operación C × 242.</w:t>
            </w:r>
          </w:p>
        </w:tc>
      </w:tr>
    </w:tbl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2088"/>
        <w:gridCol w:w="2592"/>
        <w:gridCol w:w="2880"/>
        <w:gridCol w:w="2232"/>
      </w:tblGrid>
      <w:tr>
        <w:trPr>
          <w:tblHeader w:val="true"/>
          <w:cantSplit/>
        </w:trPr>
        <w:tc>
          <w:tcPr>
            <w:tcW w:type="dxa" w:w="4320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Concepto</w:t>
            </w:r>
          </w:p>
        </w:tc>
        <w:tc>
          <w:tcPr>
            <w:tcW w:type="dxa" w:w="2088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Operación</w:t>
            </w:r>
          </w:p>
        </w:tc>
        <w:tc>
          <w:tcPr>
            <w:tcW w:type="dxa" w:w="2592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Valor ofrecido</w:t>
            </w:r>
          </w:p>
        </w:tc>
        <w:tc>
          <w:tcPr>
            <w:tcW w:type="dxa" w:w="2880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Tope de LA EMPRESA</w:t>
            </w:r>
          </w:p>
        </w:tc>
        <w:tc>
          <w:tcPr>
            <w:tcW w:type="dxa" w:w="2232"/>
            <w:shd w:fill="234E5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</w:r>
            <w:r>
              <w:rPr>
                <w:rFonts w:ascii="Aptos" w:hAnsi="Aptos"/>
                <w:b/>
                <w:i w:val="0"/>
                <w:color w:val="FFFFFF"/>
                <w:sz w:val="15"/>
              </w:rPr>
              <w:t>Control</w:t>
            </w:r>
          </w:p>
        </w:tc>
      </w:tr>
      <w:tr>
        <w:trPr>
          <w:cantSplit/>
        </w:trPr>
        <w:tc>
          <w:tcPr>
            <w:tcW w:type="dxa" w:w="432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A. Total mensual — alumbrado público y suministro</w:t>
            </w:r>
          </w:p>
        </w:tc>
        <w:tc>
          <w:tcPr>
            <w:tcW w:type="dxa" w:w="208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Resultado sección 2</w:t>
            </w:r>
          </w:p>
        </w:tc>
        <w:tc>
          <w:tcPr>
            <w:tcW w:type="dxa" w:w="259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$ [COPIAR]</w:t>
            </w:r>
          </w:p>
        </w:tc>
        <w:tc>
          <w:tcPr>
            <w:tcW w:type="dxa" w:w="28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$ 286.848.600,06</w:t>
            </w:r>
          </w:p>
        </w:tc>
        <w:tc>
          <w:tcPr>
            <w:tcW w:type="dxa" w:w="2232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[CUMPLE / NO CUMPLE]</w:t>
            </w:r>
          </w:p>
        </w:tc>
      </w:tr>
      <w:tr>
        <w:trPr>
          <w:cantSplit/>
        </w:trPr>
        <w:tc>
          <w:tcPr>
            <w:tcW w:type="dxa" w:w="432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B. Total mensual — generación</w:t>
            </w:r>
          </w:p>
        </w:tc>
        <w:tc>
          <w:tcPr>
            <w:tcW w:type="dxa" w:w="2088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Resultado sección 3</w:t>
            </w:r>
          </w:p>
        </w:tc>
        <w:tc>
          <w:tcPr>
            <w:tcW w:type="dxa" w:w="259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$ [COPIAR]</w:t>
            </w:r>
          </w:p>
        </w:tc>
        <w:tc>
          <w:tcPr>
            <w:tcW w:type="dxa" w:w="2880"/>
            <w:shd w:fill="F8FAFC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$ 5.206.250,00</w:t>
            </w:r>
          </w:p>
        </w:tc>
        <w:tc>
          <w:tcPr>
            <w:tcW w:type="dxa" w:w="2232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[CUMPLE / NO CUMPLE]</w:t>
            </w:r>
          </w:p>
        </w:tc>
      </w:tr>
      <w:tr>
        <w:trPr>
          <w:cantSplit/>
        </w:trPr>
        <w:tc>
          <w:tcPr>
            <w:tcW w:type="dxa" w:w="4320"/>
            <w:shd w:fill="DDEBE9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C. TOTAL MENSUAL OFRECIDO</w:t>
            </w:r>
          </w:p>
        </w:tc>
        <w:tc>
          <w:tcPr>
            <w:tcW w:type="dxa" w:w="2088"/>
            <w:shd w:fill="DDEBE9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A + B</w:t>
            </w:r>
          </w:p>
        </w:tc>
        <w:tc>
          <w:tcPr>
            <w:tcW w:type="dxa" w:w="259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$ [CALCULAR]</w:t>
            </w:r>
          </w:p>
        </w:tc>
        <w:tc>
          <w:tcPr>
            <w:tcW w:type="dxa" w:w="2880"/>
            <w:shd w:fill="DDEBE9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$ 292.054.850,06</w:t>
            </w:r>
          </w:p>
        </w:tc>
        <w:tc>
          <w:tcPr>
            <w:tcW w:type="dxa" w:w="2232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[CUMPLE / NO CUMPLE]</w:t>
            </w:r>
          </w:p>
        </w:tc>
      </w:tr>
      <w:tr>
        <w:trPr>
          <w:cantSplit/>
        </w:trPr>
        <w:tc>
          <w:tcPr>
            <w:tcW w:type="dxa" w:w="4320"/>
            <w:shd w:fill="DDEBE9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D. TOTAL DE LA OFERTA — 242 MESES</w:t>
            </w:r>
          </w:p>
        </w:tc>
        <w:tc>
          <w:tcPr>
            <w:tcW w:type="dxa" w:w="2088"/>
            <w:shd w:fill="DDEBE9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C × 242</w:t>
            </w:r>
          </w:p>
        </w:tc>
        <w:tc>
          <w:tcPr>
            <w:tcW w:type="dxa" w:w="259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$ [CALCULAR]</w:t>
            </w:r>
          </w:p>
        </w:tc>
        <w:tc>
          <w:tcPr>
            <w:tcW w:type="dxa" w:w="2880"/>
            <w:shd w:fill="DDEBE9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$ 70.677.273.714,52</w:t>
            </w:r>
          </w:p>
        </w:tc>
        <w:tc>
          <w:tcPr>
            <w:tcW w:type="dxa" w:w="2232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F2937"/>
                <w:sz w:val="16"/>
              </w:rPr>
              <w:t>[CUMPLE / NO CUMPLE]</w:t>
            </w:r>
          </w:p>
        </w:tc>
      </w:tr>
    </w:tbl>
    <w:p>
      <w:pPr>
        <w:spacing w:before="140" w:after="100"/>
      </w:pPr>
      <w:r>
        <w:rPr>
          <w:rFonts w:ascii="Aptos" w:hAnsi="Aptos"/>
          <w:b/>
          <w:i w:val="0"/>
          <w:color w:val="163A3A"/>
          <w:sz w:val="18"/>
        </w:rPr>
        <w:t xml:space="preserve">VALOR TOTAL EN LETRAS: </w:t>
      </w:r>
      <w:r>
        <w:rPr>
          <w:rFonts w:ascii="Aptos" w:hAnsi="Aptos"/>
          <w:b/>
          <w:i w:val="0"/>
          <w:color w:val="7A5A00"/>
          <w:sz w:val="18"/>
        </w:rPr>
        <w:t>[DILIGENCIAR] PESOS MONEDA CORRIENTE.</w:t>
      </w:r>
    </w:p>
    <w:p>
      <w:pPr>
        <w:pStyle w:val="Heading1"/>
        <w:keepNext/>
      </w:pPr>
      <w:r>
        <w:t>5. Lista de verificación antes de presentar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13320"/>
      </w:tblGrid>
      <w:tr>
        <w:trPr>
          <w:cantSplit/>
        </w:trPr>
        <w:tc>
          <w:tcPr>
            <w:tcW w:type="dxa" w:w="792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20"/>
              </w:rPr>
              <w:t>☐</w:t>
            </w:r>
          </w:p>
        </w:tc>
        <w:tc>
          <w:tcPr>
            <w:tcW w:type="dxa" w:w="1332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Diligencié todas las celdas amarillas y no modifiqué las celdas grises.</w:t>
            </w:r>
          </w:p>
        </w:tc>
      </w:tr>
      <w:tr>
        <w:trPr>
          <w:cantSplit/>
        </w:trPr>
        <w:tc>
          <w:tcPr>
            <w:tcW w:type="dxa" w:w="792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20"/>
              </w:rPr>
              <w:t>☐</w:t>
            </w:r>
          </w:p>
        </w:tc>
        <w:tc>
          <w:tcPr>
            <w:tcW w:type="dxa" w:w="1332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Verifiqué cantidades, dedicaciones, factor multiplicador e IVA.</w:t>
            </w:r>
          </w:p>
        </w:tc>
      </w:tr>
      <w:tr>
        <w:trPr>
          <w:cantSplit/>
        </w:trPr>
        <w:tc>
          <w:tcPr>
            <w:tcW w:type="dxa" w:w="792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20"/>
              </w:rPr>
              <w:t>☐</w:t>
            </w:r>
          </w:p>
        </w:tc>
        <w:tc>
          <w:tcPr>
            <w:tcW w:type="dxa" w:w="1332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Los totales mensuales coinciden con el detalle de cada componente.</w:t>
            </w:r>
          </w:p>
        </w:tc>
      </w:tr>
      <w:tr>
        <w:trPr>
          <w:cantSplit/>
        </w:trPr>
        <w:tc>
          <w:tcPr>
            <w:tcW w:type="dxa" w:w="792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20"/>
              </w:rPr>
              <w:t>☐</w:t>
            </w:r>
          </w:p>
        </w:tc>
        <w:tc>
          <w:tcPr>
            <w:tcW w:type="dxa" w:w="1332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El total de 242 meses coincide con el valor mensual total × 242.</w:t>
            </w:r>
          </w:p>
        </w:tc>
      </w:tr>
      <w:tr>
        <w:trPr>
          <w:cantSplit/>
        </w:trPr>
        <w:tc>
          <w:tcPr>
            <w:tcW w:type="dxa" w:w="792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20"/>
              </w:rPr>
              <w:t>☐</w:t>
            </w:r>
          </w:p>
        </w:tc>
        <w:tc>
          <w:tcPr>
            <w:tcW w:type="dxa" w:w="1332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Ningún valor supera los topes del formulario.</w:t>
            </w:r>
          </w:p>
        </w:tc>
      </w:tr>
      <w:tr>
        <w:trPr>
          <w:cantSplit/>
        </w:trPr>
        <w:tc>
          <w:tcPr>
            <w:tcW w:type="dxa" w:w="792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20"/>
              </w:rPr>
              <w:t>☐</w:t>
            </w:r>
          </w:p>
        </w:tc>
        <w:tc>
          <w:tcPr>
            <w:tcW w:type="dxa" w:w="1332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El valor en letras coincide con el valor numérico y el formato está firmado.</w:t>
            </w:r>
          </w:p>
        </w:tc>
      </w:tr>
    </w:tbl>
    <w:p>
      <w:pPr>
        <w:pStyle w:val="Heading1"/>
        <w:keepNext/>
      </w:pPr>
      <w:r>
        <w:t>6. Firma del oferente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5760"/>
        <w:gridCol w:w="1440"/>
        <w:gridCol w:w="5472"/>
      </w:tblGrid>
      <w:tr>
        <w:trPr>
          <w:cantSplit/>
        </w:trPr>
        <w:tc>
          <w:tcPr>
            <w:tcW w:type="dxa" w:w="144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Nombre</w:t>
            </w:r>
          </w:p>
        </w:tc>
        <w:tc>
          <w:tcPr>
            <w:tcW w:type="dxa" w:w="5760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44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Documento</w:t>
            </w:r>
          </w:p>
        </w:tc>
        <w:tc>
          <w:tcPr>
            <w:tcW w:type="dxa" w:w="547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44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Firma</w:t>
            </w:r>
          </w:p>
        </w:tc>
        <w:tc>
          <w:tcPr>
            <w:tcW w:type="dxa" w:w="5760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</w:r>
          </w:p>
        </w:tc>
        <w:tc>
          <w:tcPr>
            <w:tcW w:type="dxa" w:w="144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Fecha</w:t>
            </w:r>
          </w:p>
        </w:tc>
        <w:tc>
          <w:tcPr>
            <w:tcW w:type="dxa" w:w="547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44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Correo</w:t>
            </w:r>
          </w:p>
        </w:tc>
        <w:tc>
          <w:tcPr>
            <w:tcW w:type="dxa" w:w="5760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440"/>
            <w:shd w:fill="E8EEF0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234E52"/>
                <w:sz w:val="16"/>
              </w:rPr>
              <w:t>Teléfono</w:t>
            </w:r>
          </w:p>
        </w:tc>
        <w:tc>
          <w:tcPr>
            <w:tcW w:type="dxa" w:w="5472"/>
            <w:shd w:fill="FFF4C2"/>
            <w:tcMar>
              <w:top w:w="60" w:type="dxa"/>
              <w:start w:w="80" w:type="dxa"/>
              <w:bottom w:w="60" w:type="dxa"/>
              <w:end w:w="8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spacing w:before="120" w:after="0"/>
      </w:pPr>
      <w:r>
        <w:rPr>
          <w:rFonts w:ascii="Aptos" w:hAnsi="Aptos"/>
          <w:b/>
          <w:i w:val="0"/>
          <w:color w:val="52606D"/>
          <w:sz w:val="15"/>
        </w:rPr>
        <w:t xml:space="preserve">Nota de la entidad: </w:t>
      </w:r>
      <w:r>
        <w:rPr>
          <w:rFonts w:ascii="Aptos" w:hAnsi="Aptos"/>
          <w:b w:val="0"/>
          <w:i w:val="0"/>
          <w:color w:val="52606D"/>
          <w:sz w:val="15"/>
        </w:rPr>
        <w:t>los reajustes posteriores que eventualmente procedan se regirán por el contrato y no se calculan en este formato.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792" w:right="864" w:bottom="792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ptos" w:hAnsi="Aptos"/>
        <w:b w:val="0"/>
        <w:i w:val="0"/>
        <w:color w:val="6B7280"/>
        <w:sz w:val="15"/>
      </w:rPr>
      <w:t xml:space="preserve">Página </w:t>
    </w:r>
    <w:fldSimple w:instr="PAGE"/>
    <w:r>
      <w:rPr>
        <w:rFonts w:ascii="Aptos" w:hAnsi="Aptos"/>
        <w:b w:val="0"/>
        <w:i w:val="0"/>
        <w:color w:val="6B7280"/>
        <w:sz w:val="15"/>
      </w:rPr>
      <w:t xml:space="preserve"> de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ptos" w:hAnsi="Aptos"/>
        <w:b/>
        <w:i w:val="0"/>
        <w:color w:val="52716F"/>
        <w:sz w:val="16"/>
      </w:rPr>
      <w:t>LA PERLA DEL SINÚ | FORMATO DE OFERTA ECONÓMICA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4E52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4E5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ind w:left="461" w:hanging="245"/>
      <w:contextualSpacing/>
    </w:pPr>
    <w:rPr>
      <w:rFonts w:ascii="Aptos" w:hAnsi="Aptos"/>
      <w:sz w:val="1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/>
      <w:ind w:left="461" w:hanging="245"/>
      <w:contextualSpacing/>
    </w:pPr>
    <w:rPr>
      <w:rFonts w:ascii="Aptos" w:hAnsi="Aptos"/>
      <w:sz w:val="17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simplificado de oferta económica — interventoría integral</dc:title>
  <dc:subject>Oferta mensual y total para 242 meses</dc:subject>
  <dc:creator>Documento para revisión jurídica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