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i w:val="0"/>
          <w:color w:val="163A3A"/>
          <w:sz w:val="34"/>
        </w:rPr>
        <w:t>ANEXO 6 - EXPERIENCIA DEL PROPONENTE - REQUISITO HABILITANTE</w:t>
      </w:r>
    </w:p>
    <w:p>
      <w:pPr>
        <w:spacing w:after="180"/>
        <w:jc w:val="center"/>
      </w:pPr>
      <w:r>
        <w:rPr>
          <w:rFonts w:ascii="Aptos" w:hAnsi="Aptos"/>
          <w:b/>
          <w:i w:val="0"/>
          <w:color w:val="52716F"/>
          <w:sz w:val="21"/>
        </w:rPr>
        <w:t>Contrato de consultoría para la interventoría integral del sector energético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5927"/>
        <w:gridCol w:w="1600"/>
        <w:gridCol w:w="5085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Entidad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EMPRESA PÚBLICA LA PERLA DEL SINÚ S.A.S. E.S.P.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Proceso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INVITACIÓN PÚBLICA No. [DILIGENCIAR POR LA ENTIDAD]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Objeto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Realizar la interventoría integral técnica, administrativa y financiera a los contratos de transición energética del Municipio de Montería.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Plazo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242 meses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Oferente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NIT / documento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Forma de participación</w:t>
            </w:r>
          </w:p>
        </w:tc>
        <w:tc>
          <w:tcPr>
            <w:tcW w:type="dxa" w:w="5927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[SINGULAR / CONSORCIO / UNIÓN TEMPORAL]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5085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p>
      <w:pPr>
        <w:spacing w:after="0"/>
      </w:pPr>
    </w:p>
    <w:tbl>
      <w:tblPr>
        <w:tblW w:type="dxa" w:w="14112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4112"/>
      </w:tblGrid>
      <w:tr>
        <w:trPr>
          <w:cantSplit/>
        </w:trPr>
        <w:tc>
          <w:tcPr>
            <w:tcW w:type="dxa" w:w="14112"/>
            <w:shd w:fill="EAF4F3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ptos" w:hAnsi="Aptos"/>
                <w:b/>
                <w:i w:val="0"/>
                <w:color w:val="163A3A"/>
                <w:sz w:val="17"/>
              </w:rPr>
              <w:t xml:space="preserve">Instrucción: </w:t>
            </w:r>
            <w:r>
              <w:rPr>
                <w:rFonts w:ascii="Aptos" w:hAnsi="Aptos"/>
                <w:b w:val="0"/>
                <w:i w:val="0"/>
                <w:color w:val="1F2937"/>
                <w:sz w:val="17"/>
              </w:rPr>
              <w:t>Relacione únicamente contratos que pretenda hacer valer como experiencia habilitante. Identifique el soporte y las páginas exactas. La experiencia privada es admisible si permite verificar objetivamente objeto, alcance, valor, plazo y ejecución.</w:t>
            </w:r>
          </w:p>
        </w:tc>
      </w:tr>
    </w:tbl>
    <w:p>
      <w:pPr>
        <w:spacing w:after="0"/>
      </w:pP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00"/>
        <w:gridCol w:w="1250"/>
        <w:gridCol w:w="1100"/>
        <w:gridCol w:w="1550"/>
        <w:gridCol w:w="2900"/>
        <w:gridCol w:w="1550"/>
        <w:gridCol w:w="1200"/>
        <w:gridCol w:w="1600"/>
        <w:gridCol w:w="1100"/>
        <w:gridCol w:w="1362"/>
      </w:tblGrid>
      <w:tr>
        <w:trPr>
          <w:cantSplit/>
          <w:tblHeader w:val="true"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N.º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Integrante que aporta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RUP / soporte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Contratante y naturaleza</w:t>
            </w:r>
          </w:p>
        </w:tc>
        <w:tc>
          <w:tcPr>
            <w:tcW w:type="dxa" w:w="2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Objeto y actividades acreditadas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Componente relacionado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Inicio / terminación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Valor ejecutado y participación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Valor en SMMLV</w:t>
            </w:r>
          </w:p>
        </w:tc>
        <w:tc>
          <w:tcPr>
            <w:tcW w:type="dxa" w:w="13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4"/>
              </w:rPr>
              <w:t>Folios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1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2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[AP / SUMINISTRO / FNCER-AGPE / OTRO]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 / [ ] %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2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2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[AP / SUMINISTRO / FNCER-AGPE / OTRO]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 / [ ] %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3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2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[AP / SUMINISTRO / FNCER-AGPE / OTRO]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 / [ ] %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4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2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[AP / SUMINISTRO / FNCER-AGPE / OTRO]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 / [ ] %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5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2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[AP / SUMINISTRO / FNCER-AGPE / OTRO]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 / [ ] %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6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2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[AP / SUMINISTRO / FNCER-AGPE / OTRO]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 / [ ] %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7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2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[AP / SUMINISTRO / FNCER-AGPE / OTRO]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 / [ ] %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  <w:tr>
        <w:trPr>
          <w:cantSplit/>
        </w:trPr>
        <w:tc>
          <w:tcPr>
            <w:tcW w:type="dxa" w:w="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8</w:t>
            </w:r>
          </w:p>
        </w:tc>
        <w:tc>
          <w:tcPr>
            <w:tcW w:type="dxa" w:w="12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29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55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[AP / SUMINISTRO / FNCER-AGPE / OTRO]</w:t>
            </w:r>
          </w:p>
        </w:tc>
        <w:tc>
          <w:tcPr>
            <w:tcW w:type="dxa" w:w="1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6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$ [DILIGENCIAR] / [ ] %</w:t>
            </w:r>
          </w:p>
        </w:tc>
        <w:tc>
          <w:tcPr>
            <w:tcW w:type="dxa" w:w="11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  <w:tc>
          <w:tcPr>
            <w:tcW w:type="dxa" w:w="136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4"/>
              </w:rPr>
              <w:t>[DILIGENCIAR]</w:t>
            </w:r>
          </w:p>
        </w:tc>
      </w:tr>
    </w:tbl>
    <w:p>
      <w:pPr>
        <w:pStyle w:val="Heading1"/>
        <w:keepNext/>
      </w:pPr>
      <w:r>
        <w:t>Resumen de acreditación</w:t>
      </w:r>
    </w:p>
    <w:tbl>
      <w:tblPr>
        <w:tblStyle w:val="TableGrid"/>
        <w:tblW w:type="dxa" w:w="14112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200"/>
        <w:gridCol w:w="6200"/>
        <w:gridCol w:w="4712"/>
      </w:tblGrid>
      <w:tr>
        <w:trPr>
          <w:cantSplit/>
          <w:tblHeader w:val="true"/>
        </w:trPr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Concepto</w:t>
            </w:r>
          </w:p>
        </w:tc>
        <w:tc>
          <w:tcPr>
            <w:tcW w:type="dxa" w:w="6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Resultado declarado</w:t>
            </w:r>
          </w:p>
        </w:tc>
        <w:tc>
          <w:tcPr>
            <w:tcW w:type="dxa" w:w="47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234E52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/>
                <w:i w:val="0"/>
                <w:color w:val="FFFFFF"/>
                <w:sz w:val="15"/>
              </w:rPr>
              <w:t>Soporte</w:t>
            </w:r>
          </w:p>
        </w:tc>
      </w:tr>
      <w:tr>
        <w:trPr>
          <w:cantSplit/>
        </w:trPr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Número de contratos relacionados</w:t>
            </w:r>
          </w:p>
        </w:tc>
        <w:tc>
          <w:tcPr>
            <w:tcW w:type="dxa" w:w="6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47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Valor total acreditado en SMMLV</w:t>
            </w:r>
          </w:p>
        </w:tc>
        <w:tc>
          <w:tcPr>
            <w:tcW w:type="dxa" w:w="6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  <w:tc>
          <w:tcPr>
            <w:tcW w:type="dxa" w:w="47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Experiencia específica cubierta</w:t>
            </w:r>
          </w:p>
        </w:tc>
        <w:tc>
          <w:tcPr>
            <w:tcW w:type="dxa" w:w="6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[DESCRIBIR COMPONENTES]</w:t>
            </w:r>
          </w:p>
        </w:tc>
        <w:tc>
          <w:tcPr>
            <w:tcW w:type="dxa" w:w="47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[DILIGENCIAR]</w:t>
            </w:r>
          </w:p>
        </w:tc>
      </w:tr>
      <w:tr>
        <w:trPr>
          <w:cantSplit/>
        </w:trPr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Contrato(s) usado(s) también como experiencia puntuable</w:t>
            </w:r>
          </w:p>
        </w:tc>
        <w:tc>
          <w:tcPr>
            <w:tcW w:type="dxa" w:w="6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[INDICAR / NINGUNO]</w:t>
            </w:r>
          </w:p>
        </w:tc>
        <w:tc>
          <w:tcPr>
            <w:tcW w:type="dxa" w:w="4712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5"/>
              </w:rPr>
              <w:t>Aplicar regla de no doble valoración</w:t>
            </w:r>
          </w:p>
        </w:tc>
      </w:tr>
    </w:tbl>
    <w:p>
      <w:pPr>
        <w:jc w:val="both"/>
      </w:pPr>
      <w:r>
        <w:rPr>
          <w:rFonts w:ascii="Aptos" w:hAnsi="Aptos"/>
          <w:b w:val="0"/>
          <w:i w:val="0"/>
          <w:color w:val="1F2937"/>
          <w:sz w:val="18"/>
        </w:rPr>
        <w:t>Declaro que la información es cierta, que la participación ejecutada y los valores fueron calculados conforme a los términos, y que los soportes permiten su verificación sin alterar las reglas de subsanabilidad.</w:t>
      </w:r>
    </w:p>
    <w:p>
      <w:pPr>
        <w:pStyle w:val="Heading1"/>
        <w:keepNext/>
      </w:pPr>
      <w:r>
        <w:t>Firma(s)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3200"/>
        <w:gridCol w:w="1500"/>
        <w:gridCol w:w="3160"/>
      </w:tblGrid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Nombre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Documento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Cargo / calidad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Fecha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  <w:tr>
        <w:trPr>
          <w:cantSplit/>
        </w:trPr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Firma</w:t>
            </w:r>
          </w:p>
        </w:tc>
        <w:tc>
          <w:tcPr>
            <w:tcW w:type="dxa" w:w="32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</w:r>
          </w:p>
        </w:tc>
        <w:tc>
          <w:tcPr>
            <w:tcW w:type="dxa" w:w="150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E8EEF0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/>
                <w:i w:val="0"/>
                <w:color w:val="163A3A"/>
                <w:sz w:val="16"/>
              </w:rPr>
              <w:t>Correo / teléfono</w:t>
            </w:r>
          </w:p>
        </w:tc>
        <w:tc>
          <w:tcPr>
            <w:tcW w:type="dxa" w:w="3160"/>
            <w:vAlign w:val="center"/>
            <w:tcMar>
              <w:top w:w="80" w:type="dxa"/>
              <w:start w:w="110" w:type="dxa"/>
              <w:bottom w:w="80" w:type="dxa"/>
              <w:end w:w="110" w:type="dxa"/>
            </w:tcMar>
            <w:shd w:fill="FFF4C2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ptos" w:hAnsi="Aptos"/>
                <w:b w:val="0"/>
                <w:i w:val="0"/>
                <w:color w:val="1F2937"/>
                <w:sz w:val="16"/>
              </w:rPr>
              <w:t>[DILIGENCIAR]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792" w:right="864" w:bottom="792" w:left="864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i w:val="0"/>
        <w:color w:val="52716F"/>
        <w:sz w:val="15"/>
      </w:rPr>
      <w:t xml:space="preserve">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Aptos" w:hAnsi="Aptos"/>
        <w:b/>
        <w:i w:val="0"/>
        <w:color w:val="52716F"/>
        <w:sz w:val="14"/>
      </w:rPr>
      <w:t>EMPRESA PÚBLICA LA PERLA DEL SINÚ S.A.S. E.S.P.  |  INVITACIÓN PÚBLICA No. [DILIGENCIAR POR LA ENTIDAD]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63A3A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63A3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 w:line="240" w:lineRule="auto"/>
      <w:contextualSpacing/>
    </w:pPr>
    <w:rPr>
      <w:rFonts w:ascii="Aptos" w:hAnsi="Aptos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6 - EXPERIENCIA DEL PROPONENTE - REQUISITO HABILITANTE</dc:title>
  <dc:subject/>
  <dc:creator>Moreno Servicios Legales S.A.S.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